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117</w:t>
      </w:r>
    </w:p>
    <w:p>
      <w:r>
        <w:t>Bundesgericht (BGE), 1990-05-14, DE</w:t>
      </w:r>
    </w:p>
    <w:p>
      <w:r>
        <w:rPr>
          <w:b/>
        </w:rPr>
        <w:t xml:space="preserve">Quelle: </w:t>
      </w:r>
      <w:r>
        <w:t>https://mcp.opencaselaw.ch/entscheid/bge_116 IV 117</w:t>
      </w:r>
    </w:p>
    <w:p>
      <w:r>
        <w:t>FR: ATF 116 IV 117</w:t>
      </w:r>
    </w:p>
    <w:p>
      <w:r>
        <w:t>IT: DTF 116 IV 117</w:t>
      </w:r>
    </w:p>
    <w:p>
      <w:pPr>
        <w:pStyle w:val="Heading2"/>
      </w:pPr>
      <w:r>
        <w:t>Regeste</w:t>
      </w:r>
    </w:p>
    <w:p>
      <w:r>
        <w:t>Regeste Art. 58 Abs. 1 lit. b StGB. Einziehung. Die Einziehung eines Tatwerkzeuges ist dann anzuordnen, wenn es hinreichend wahrscheinlich ist, dass ohne diese Massnahme die Sicherheit von Menschen, die Sittlichkeit oder die öffentliche Ordnung gefährdet wäre (Bestätigung von BGE 81 IV 217).</w:t>
      </w:r>
    </w:p>
    <w:p>
      <w:pPr>
        <w:pStyle w:val="Heading2"/>
      </w:pPr>
      <w:r>
        <w:t>Erwägungen</w:t>
      </w:r>
    </w:p>
    <w:p>
      <w:r>
        <w:rPr>
          <w:b/>
        </w:rPr>
        <w:t>E. 1</w:t>
      </w:r>
    </w:p>
    <w:p>
      <w:r>
        <w:t>Gemäss Art. 58 Abs. 1 lit. b StGB verfügt der Richter ohne Rücksicht auf die Strafbarkeit einer bestimmten Person die Einziehung unter anderem von Gegenständen, mit denen eine strafbare BGE 116 IV 117 S. 119 Handlung begangen wurde, wenn die Gegenstände die Sicherheit von Menschen, die Sittlichkeit oder die öffentliche Ordnung gefährden. Nach den Ausführungen im angefochtenen Entscheid handelt es sich bei der inkriminierten Tat des im Jahre 1922 geborenen Beschwerdegegners um eine einmalige Entgleisung, die sich aller Voraussicht nach nicht mehr wiederholen wird; zwar sei der Beschwerdegegner als etwas eigenartige und aufbrausende Persönlichkeit bekannt, doch habe er bis zum Vorfall vom 10. November 1987 noch nie derart heftig reagiert; zudem sei seine Handlungsweise zu einem guten Teil auch auf die ungeschickte Reaktion von H. zurückzuführen. Die Staatsanwaltschaft macht in ihrer Nichtigkeitsbeschwerde geltend, das Obergericht habe mit dem Verzicht auf die Einziehung auch des Karabiners und der hiefür gegebenen Begründung Sinn und Zweck von Art. 58 Abs. 1 lit. b StGB verkannt; ob ein Gegenstand die Sicherheit von Menschen gefährdet, sei, wie sich aus BGE 81 IV 219 E. 2 ergebe, auf Grund der vom Täter realisierten oder beabsichtigten Verwendung zu beurteilen; mit der Einziehung eines Gegenstandes durch den Richter soll demzufolge ein für allemal verhindert werden, dass der Täter in Zukunft noch einmal in die Lage versetzt werden könnte, ihn erneut in ähnlich gefährdender Art zu verwenden; von einer Einziehung, welche die Regel bilde, könne nur dann abgesehen werden, wenn die Gefahr vor Abschluss des Verfahrens völlig behoben gewesen wäre oder der Zweck der Massnahme durch weniger einschneidende Anordnungen hätte erreicht werden können ( BGE 114 IV 99 , BGE 104 IV 150 ); der Richter dürfe sich nicht mit der Feststellung begnügen, dass es sich bei der Tat um eine einmalige Entgleisung handle, die sich aller Voraussicht nach nicht mehr wiederholen werde, sondern er habe dafür zu sorgen, dass eine solche Entgleisung effektiv nicht mehr vorkommen kann; zur Erreichung dieses Ziels hätte das Gericht die Einziehung des Karabiners anordnen oder zumindest dafür sorgen müssen, dass dieser schiessuntauglich gemacht werde.</w:t>
      </w:r>
    </w:p>
    <w:p>
      <w:r>
        <w:rPr>
          <w:b/>
        </w:rPr>
        <w:t>E. 2</w:t>
      </w:r>
    </w:p>
    <w:p>
      <w:r>
        <w:t>a) Ein Tatwerkzeug ist nicht schon dann und deshalb einzuziehen, wenn und weil der Täter damit durch eine strafbare Handlung die Sicherheit von Menschen gefährdet hat. Art. 58 Abs. 1 lit. b StGB setzt voraus, dass der Gegenstand, mit dem die strafbare Handlung begangen wurde, die Sicherheit von Menschen gefährdet. Das kann nur bedeuten, dass diese Gefahr weiterhin, in der Zukunft, bestehen muss und eben gerade deshalb die sichernde Massnahme der Einziehung anzuordnen ist. Der Richter hat BGE 116 IV 117 S. 120 demzufolge eine Prognose darüber anzustellen, ob der fragliche Gegenstand in der Hand des Täters in der Zukunft die Sicherheit von Menschen gefährdet. Bei dieser Prognose sind die gesamten Umstände zu berücksichtigen. Die mit dem Gegenstand bereits verübte Tat, durch welche die Sicherheit von Menschen gefährdet wurde, ist dabei nur ein Kriterium neben andern. Eine im Sinne von Art. 58 Abs. 1 lit. b StGB relevante Gefahr wird man relativ leicht bejahen können in Fällen, in denen der fragliche Gegenstand gerade zur Verübung von Straftaten angeschafft wurde oder von demjenigen, welcher ihn in Händen hat, bereits mehrmals zu diesem Zweck verwendet wurde (vgl. BGE 81 IV 217 ff.) oder gar nicht anders als in gefährdender Art und Weise verwendet werden kann. Von der Einziehung eines Tatwerkzeuges ist andererseits nicht erst dann abzusehen, wenn für die Zukunft eine Gefahr für die Sicherheit von Menschen ausgeschlossen werden kann. Soweit in BGE 114 IV 99 ausgeführt wird, "nur" bei völliger Behebung der Gefahr könne von einer Einziehung abgesehen werden, bedarf dieser Entscheid einer Korrektur. Für den Grad der Wahrscheinlichkeit einer Gefahr als Voraussetzung für die Einziehung nach Art. 58 Abs. 1 lit. b StGB ist vielmehr BGE 81 IV 219 zu bestätigen. Danach ist die Einziehung anzuordnen, wenn es hinreichend wahrscheinlich ("suffisamment vraisemblable") ist, dass ohne diese Massnahme die Sicherheit von Menschen, die Sittlichkeit oder die öffentliche Ordnung gefährdet wäre (vgl. auch STRATENWERTH, Strafrecht, Allgemeiner Teil II, S. 486 N 28; ferner ALBIN ESER, Die strafrechtlichen Sanktionen gegen das Eigentum, Tübingen 1969, S. 267 f.: "dringende Wahrscheinlichkeit" einer Gefahr). b) Das Obergericht hält fest, dass der - im Jahre 1922 geborene und seit 15. Juni 1987 pensionierte - Beschwerdegegner zwar als etwas eigenartige und aufbrausende Persönlichkeit bekannt ist, er aber bis zum fraglichen Vorfall vom 10. November 1987 noch nie derart heftig reagiert hat und seine Handlungsweise zudem zu einem guten Teil auf die ungeschickte Reaktion von H. zurückzuführen ist. Es kommt gestützt darauf mit der 1. Instanz zum Schluss, dass es sich bei der Tat vom 10. November 1987 um eine "einmalige Entgleisung" handelte, "die sich aller Voraussicht nach nicht mehr wiederholen wird". Damit hat es für das Bundesgericht verbindlich die tatsächlichen Voraussetzungen der für eine Sicherungseinziehung gemäss Art. 58 Abs. 1 lit. b StGB erforderlichen Gefahr verneint. Dabei hat es nach dem oben Gesagten den BGE 116 IV 117 S. 121 der genannten Bestimmung zugrunde liegenden Gefahrbegriff nicht verkannt.</w:t>
      </w:r>
    </w:p>
    <w:p>
      <w:r>
        <w:rPr>
          <w:b/>
        </w:rPr>
        <w:t>E. 3</w:t>
      </w:r>
    </w:p>
    <w:p>
      <w:r>
        <w:t>Die eidgenössische Nichtigkeitsbeschwerde der Staatsanwaltschaft des Kantons Aargau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